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7D128" w14:textId="7F0FA522" w:rsidR="00212C1B" w:rsidRPr="00212C1B" w:rsidRDefault="00AA32D2" w:rsidP="00212C1B">
      <w:pPr>
        <w:spacing w:before="240" w:after="60" w:line="480" w:lineRule="auto"/>
        <w:jc w:val="left"/>
        <w:outlineLvl w:val="0"/>
        <w:rPr>
          <w:rFonts w:ascii="Arial" w:hAnsi="Arial" w:cs="Arial"/>
          <w:b/>
          <w:bCs/>
          <w:sz w:val="32"/>
          <w:szCs w:val="32"/>
        </w:rPr>
      </w:pPr>
      <w:r w:rsidRPr="00AA32D2">
        <w:rPr>
          <w:rFonts w:ascii="Arial" w:hAnsi="Arial" w:cs="Arial" w:hint="eastAsia"/>
          <w:b/>
          <w:bCs/>
          <w:sz w:val="32"/>
          <w:szCs w:val="32"/>
        </w:rPr>
        <w:t>Supplementary</w:t>
      </w:r>
      <w:r>
        <w:rPr>
          <w:rFonts w:ascii="Arial" w:hAnsi="Arial" w:cs="Arial" w:hint="eastAsia"/>
          <w:b/>
          <w:bCs/>
          <w:sz w:val="32"/>
          <w:szCs w:val="32"/>
        </w:rPr>
        <w:t xml:space="preserve"> </w:t>
      </w:r>
      <w:r w:rsidR="00212C1B" w:rsidRPr="00016974">
        <w:rPr>
          <w:rFonts w:ascii="Arial" w:hAnsi="Arial" w:cs="Arial"/>
          <w:b/>
          <w:bCs/>
          <w:sz w:val="32"/>
          <w:szCs w:val="32"/>
        </w:rPr>
        <w:t>Figure legend</w:t>
      </w:r>
    </w:p>
    <w:p w14:paraId="29B633DA" w14:textId="222899A2" w:rsidR="009935BF" w:rsidRPr="009935BF" w:rsidRDefault="009E6999" w:rsidP="009935BF">
      <w:pPr>
        <w:snapToGrid w:val="0"/>
        <w:spacing w:line="480" w:lineRule="auto"/>
        <w:jc w:val="left"/>
        <w:rPr>
          <w:rFonts w:ascii="Arial" w:hAnsi="Arial" w:cs="Arial"/>
          <w:sz w:val="20"/>
          <w:szCs w:val="20"/>
        </w:rPr>
      </w:pPr>
      <w:r w:rsidRPr="009935BF">
        <w:rPr>
          <w:rFonts w:ascii="Arial" w:hAnsi="Arial" w:cs="Arial"/>
          <w:b/>
          <w:bCs/>
          <w:sz w:val="20"/>
          <w:szCs w:val="20"/>
        </w:rPr>
        <w:t xml:space="preserve">Figure S1. </w:t>
      </w:r>
      <w:r w:rsidR="009935BF" w:rsidRPr="009935BF">
        <w:rPr>
          <w:rFonts w:ascii="Arial" w:hAnsi="Arial" w:cs="Arial"/>
          <w:b/>
          <w:bCs/>
          <w:sz w:val="20"/>
          <w:szCs w:val="20"/>
        </w:rPr>
        <w:t>Diagnostic performance of NORAD and hs-cTnT in identifying ACS.</w:t>
      </w:r>
      <w:r w:rsidRPr="009935BF">
        <w:rPr>
          <w:rFonts w:ascii="Arial" w:hAnsi="Arial" w:cs="Arial"/>
          <w:sz w:val="20"/>
          <w:szCs w:val="20"/>
        </w:rPr>
        <w:t xml:space="preserve"> </w:t>
      </w:r>
      <w:r w:rsidR="009935BF" w:rsidRPr="009935BF">
        <w:rPr>
          <w:rFonts w:ascii="Arial" w:hAnsi="Arial" w:cs="Arial"/>
          <w:sz w:val="20"/>
          <w:szCs w:val="20"/>
        </w:rPr>
        <w:t>(A) Receiver operating characteristic (ROC) curves comparing the diagnostic performance of NORAD, high-sensitivity cardiac troponin T (hs-cTnT), and their combination in the primary cohort. NORAD (AUC = 0.726), hs-cTnT (AUC = 0.702), and the combined logistic-regression model incorporating NORAD and ln(hs-cTnT) (AUC = 0.776). The combined model showed significantly higher discriminative ability than either biomarker alone (DeLong test, P = 0.034 and 0.010, respectively).</w:t>
      </w:r>
    </w:p>
    <w:p w14:paraId="33BE8E17" w14:textId="4DF00BBC" w:rsidR="009E6999" w:rsidRPr="009935BF" w:rsidRDefault="009935BF" w:rsidP="009935BF">
      <w:pPr>
        <w:snapToGrid w:val="0"/>
        <w:spacing w:line="480" w:lineRule="auto"/>
        <w:jc w:val="left"/>
        <w:rPr>
          <w:rFonts w:ascii="Arial" w:hAnsi="Arial" w:cs="Arial"/>
          <w:sz w:val="20"/>
          <w:szCs w:val="20"/>
        </w:rPr>
      </w:pPr>
      <w:r w:rsidRPr="009935BF">
        <w:rPr>
          <w:rFonts w:ascii="Arial" w:hAnsi="Arial" w:cs="Arial"/>
          <w:sz w:val="20"/>
          <w:szCs w:val="20"/>
        </w:rPr>
        <w:t>(B) Distribution of hs-cTnT concentrations in non-CAD (n = 100) and ACS (n = 156) patients. The optimal cutoff value for hs-cTnT was 14 ng/L, yielding a sensitivity of 48.7%, specificity of 91.0%, positive predictive value of 89.4%, and negative predictive value of 53.2%.</w:t>
      </w:r>
    </w:p>
    <w:p w14:paraId="27604833" w14:textId="77777777" w:rsidR="009E6999" w:rsidRPr="009935BF" w:rsidRDefault="009E6999" w:rsidP="00212C1B">
      <w:pPr>
        <w:snapToGrid w:val="0"/>
        <w:spacing w:line="480" w:lineRule="auto"/>
        <w:jc w:val="left"/>
        <w:rPr>
          <w:rFonts w:ascii="Arial" w:hAnsi="Arial" w:cs="Arial"/>
          <w:b/>
          <w:bCs/>
          <w:sz w:val="20"/>
          <w:szCs w:val="20"/>
        </w:rPr>
      </w:pPr>
    </w:p>
    <w:p w14:paraId="4C2674F0" w14:textId="1C5C8E1B" w:rsidR="00212C1B" w:rsidRPr="009935BF" w:rsidRDefault="00212C1B" w:rsidP="00212C1B">
      <w:pPr>
        <w:snapToGrid w:val="0"/>
        <w:spacing w:line="480" w:lineRule="auto"/>
        <w:jc w:val="left"/>
        <w:rPr>
          <w:rFonts w:ascii="Arial" w:hAnsi="Arial" w:cs="Arial"/>
          <w:sz w:val="20"/>
          <w:szCs w:val="20"/>
        </w:rPr>
      </w:pPr>
      <w:r w:rsidRPr="009935BF">
        <w:rPr>
          <w:rFonts w:ascii="Arial" w:hAnsi="Arial" w:cs="Arial"/>
          <w:b/>
          <w:bCs/>
          <w:sz w:val="20"/>
          <w:szCs w:val="20"/>
        </w:rPr>
        <w:t>Figure S</w:t>
      </w:r>
      <w:r w:rsidR="009E6999" w:rsidRPr="009935BF">
        <w:rPr>
          <w:rFonts w:ascii="Arial" w:hAnsi="Arial" w:cs="Arial"/>
          <w:b/>
          <w:bCs/>
          <w:sz w:val="20"/>
          <w:szCs w:val="20"/>
        </w:rPr>
        <w:t>2</w:t>
      </w:r>
      <w:r w:rsidRPr="009935BF">
        <w:rPr>
          <w:rFonts w:ascii="Arial" w:hAnsi="Arial" w:cs="Arial"/>
          <w:b/>
          <w:bCs/>
          <w:sz w:val="20"/>
          <w:szCs w:val="20"/>
        </w:rPr>
        <w:t>. Spearman correlation analysis of the expression of lncRNA MIR181A1HG, HEAT4, and MERRICAL with inflammatory cytokines.</w:t>
      </w:r>
      <w:r w:rsidRPr="009935BF">
        <w:rPr>
          <w:rFonts w:ascii="Arial" w:hAnsi="Arial" w:cs="Arial"/>
          <w:sz w:val="20"/>
          <w:szCs w:val="20"/>
        </w:rPr>
        <w:t xml:space="preserve"> P-values and R-values are for Spearman correlation analysis.</w:t>
      </w:r>
    </w:p>
    <w:p w14:paraId="0B51C85B" w14:textId="77777777" w:rsidR="00F4043D" w:rsidRPr="00212C1B" w:rsidRDefault="00F4043D">
      <w:pPr>
        <w:rPr>
          <w:rFonts w:hint="eastAsia"/>
        </w:rPr>
      </w:pPr>
    </w:p>
    <w:sectPr w:rsidR="00F4043D" w:rsidRPr="00212C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956C8" w14:textId="77777777" w:rsidR="0084109A" w:rsidRDefault="0084109A" w:rsidP="00212C1B">
      <w:pPr>
        <w:rPr>
          <w:rFonts w:hint="eastAsia"/>
        </w:rPr>
      </w:pPr>
      <w:r>
        <w:separator/>
      </w:r>
    </w:p>
  </w:endnote>
  <w:endnote w:type="continuationSeparator" w:id="0">
    <w:p w14:paraId="20A5F776" w14:textId="77777777" w:rsidR="0084109A" w:rsidRDefault="0084109A" w:rsidP="00212C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0F97F" w14:textId="77777777" w:rsidR="0084109A" w:rsidRDefault="0084109A" w:rsidP="00212C1B">
      <w:pPr>
        <w:rPr>
          <w:rFonts w:hint="eastAsia"/>
        </w:rPr>
      </w:pPr>
      <w:r>
        <w:separator/>
      </w:r>
    </w:p>
  </w:footnote>
  <w:footnote w:type="continuationSeparator" w:id="0">
    <w:p w14:paraId="7D6BF445" w14:textId="77777777" w:rsidR="0084109A" w:rsidRDefault="0084109A" w:rsidP="00212C1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814"/>
    <w:rsid w:val="00212C1B"/>
    <w:rsid w:val="00256C41"/>
    <w:rsid w:val="007F5814"/>
    <w:rsid w:val="0084109A"/>
    <w:rsid w:val="008823A3"/>
    <w:rsid w:val="009935BF"/>
    <w:rsid w:val="009E6999"/>
    <w:rsid w:val="00AA32D2"/>
    <w:rsid w:val="00BE5B1A"/>
    <w:rsid w:val="00D16ED3"/>
    <w:rsid w:val="00F4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7E6C23"/>
  <w15:chartTrackingRefBased/>
  <w15:docId w15:val="{61D0D663-5575-4C1B-951D-437C0BBFA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C1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F581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58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581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581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581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581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581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581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581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F581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F58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F58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F581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F581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F581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F581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F581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F581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F581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F5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581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F58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F58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F581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581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F581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F58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F581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F581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12C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12C1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12C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12C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898</Characters>
  <Application>Microsoft Office Word</Application>
  <DocSecurity>0</DocSecurity>
  <Lines>17</Lines>
  <Paragraphs>8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shengfang wang</dc:creator>
  <cp:keywords/>
  <dc:description/>
  <cp:lastModifiedBy>shengfang wang</cp:lastModifiedBy>
  <cp:revision>5</cp:revision>
  <dcterms:created xsi:type="dcterms:W3CDTF">2025-09-27T08:33:00Z</dcterms:created>
  <dcterms:modified xsi:type="dcterms:W3CDTF">2025-10-10T07:42:00Z</dcterms:modified>
</cp:coreProperties>
</file>